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</w:p>
    <w:p w:rsid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</w:p>
    <w:p w:rsidR="00A46E1F" w:rsidRPr="00A46E1F" w:rsidRDefault="00A46E1F" w:rsidP="00A46E1F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b/>
          <w:bCs/>
          <w:color w:val="5E5E5E"/>
          <w:sz w:val="24"/>
          <w:szCs w:val="24"/>
          <w:lang w:eastAsia="en-IN"/>
        </w:rPr>
      </w:pPr>
      <w:hyperlink r:id="rId5" w:tooltip="Permanent Link to Not filed TDS Return-File NIL Declaration on Traces" w:history="1">
        <w:r w:rsidRPr="00A46E1F">
          <w:rPr>
            <w:rFonts w:ascii="Arial" w:eastAsia="Times New Roman" w:hAnsi="Arial" w:cs="Arial"/>
            <w:b/>
            <w:bCs/>
            <w:color w:val="494949"/>
            <w:sz w:val="24"/>
            <w:szCs w:val="24"/>
            <w:lang w:eastAsia="en-IN"/>
          </w:rPr>
          <w:t>Not filed TDS Return-File NIL Declaration on Traces</w:t>
        </w:r>
      </w:hyperlink>
    </w:p>
    <w:p w:rsid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</w:p>
    <w:p w:rsid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</w:p>
    <w:p w:rsid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>
        <w:rPr>
          <w:rFonts w:ascii="Arial" w:hAnsi="Arial" w:cs="Arial"/>
          <w:color w:val="5E5E5E"/>
          <w:sz w:val="20"/>
          <w:szCs w:val="20"/>
          <w:shd w:val="clear" w:color="auto" w:fill="FFFFFF"/>
        </w:rPr>
        <w:t xml:space="preserve">The last date for filing the TDS Statements for the Second Quarter of FY 2014-15 is already over. There will be many </w:t>
      </w:r>
      <w:proofErr w:type="spellStart"/>
      <w:r>
        <w:rPr>
          <w:rFonts w:ascii="Arial" w:hAnsi="Arial" w:cs="Arial"/>
          <w:color w:val="5E5E5E"/>
          <w:sz w:val="20"/>
          <w:szCs w:val="20"/>
          <w:shd w:val="clear" w:color="auto" w:fill="FFFFFF"/>
        </w:rPr>
        <w:t>deductors</w:t>
      </w:r>
      <w:proofErr w:type="spellEnd"/>
      <w:r>
        <w:rPr>
          <w:rFonts w:ascii="Arial" w:hAnsi="Arial" w:cs="Arial"/>
          <w:color w:val="5E5E5E"/>
          <w:sz w:val="20"/>
          <w:szCs w:val="20"/>
          <w:shd w:val="clear" w:color="auto" w:fill="FFFFFF"/>
        </w:rPr>
        <w:t xml:space="preserve"> who did not deduct any tax during the relevant quarter and therefore did not file any statement for deduction of tax at source u/s 200(3) of the Income Tax Act’1961</w:t>
      </w: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But do you know that for such </w:t>
      </w: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deductors</w:t>
      </w:r>
      <w:proofErr w:type="spellEnd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 who have a TAN Number but have not filed the TDS statement as they did not deduct any tax during the relevant tax period, CPC (TDS) has started a functionality where the </w:t>
      </w: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deductors</w:t>
      </w:r>
      <w:proofErr w:type="spellEnd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 can file a NIL Declaration </w:t>
      </w: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i.e</w:t>
      </w:r>
      <w:proofErr w:type="spellEnd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 a declaration that the </w:t>
      </w: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deductor</w:t>
      </w:r>
      <w:proofErr w:type="spellEnd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 did not deduct any tax during the relevant tax period and was subsequently not liable to file a </w:t>
      </w: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tds</w:t>
      </w:r>
      <w:proofErr w:type="spellEnd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 statement.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proofErr w:type="spellStart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Ques</w:t>
      </w:r>
      <w:proofErr w:type="spellEnd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: What is a NIL Declaration of TDS Statement?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proofErr w:type="spellStart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Ans</w:t>
      </w:r>
      <w:proofErr w:type="spellEnd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: </w:t>
      </w: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A NIL Declaration is basically a declaration for non-filing of TDS Statements for those </w:t>
      </w: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deductors</w:t>
      </w:r>
      <w:proofErr w:type="spellEnd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 who were not liable to deduct any tax during the relevant quarter or have not deducted tax during any quarter and subsequently did not file a TDS Statement U/s 200(3) of the Income Tax Act’1961 for any quarter.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proofErr w:type="spellStart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Ques</w:t>
      </w:r>
      <w:proofErr w:type="spellEnd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: Is it mandatory to file a NIL Declaration?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proofErr w:type="spellStart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Ans</w:t>
      </w:r>
      <w:proofErr w:type="spellEnd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: </w:t>
      </w: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As per Income Tax Act’1961 and the Income Tax Rules it is not mandatory file a NIL TDS Return.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Since filing NIL TDS Return was neither mandatory nor possible. The CPC (TDS) was having a problem distinguishing between:</w:t>
      </w:r>
    </w:p>
    <w:p w:rsidR="00A46E1F" w:rsidRPr="00A46E1F" w:rsidRDefault="00A46E1F" w:rsidP="00A46E1F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Deductors</w:t>
      </w:r>
      <w:proofErr w:type="spellEnd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 required to file return but not filed the TDS Return.</w:t>
      </w:r>
    </w:p>
    <w:p w:rsidR="00A46E1F" w:rsidRPr="00A46E1F" w:rsidRDefault="00A46E1F" w:rsidP="00A46E1F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Deductors</w:t>
      </w:r>
      <w:proofErr w:type="spellEnd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 not required to file return.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Therefore, In order to prove that the </w:t>
      </w: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deductor</w:t>
      </w:r>
      <w:proofErr w:type="spellEnd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 was not required to file a TDS Return, it is advisable that the </w:t>
      </w: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deductors</w:t>
      </w:r>
      <w:proofErr w:type="spellEnd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 should file A NIL Declaration of TDS Statement.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proofErr w:type="spellStart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Ques</w:t>
      </w:r>
      <w:proofErr w:type="spellEnd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: Where can I file a declaration for not filing a TDS Statement?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proofErr w:type="spellStart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Ans</w:t>
      </w:r>
      <w:proofErr w:type="spellEnd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: </w:t>
      </w: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A Declaration for not filing the TDS Statement can filed by logging into the CPC (TDS) Website: www.tdscpc.gov.in 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proofErr w:type="spellStart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Ques</w:t>
      </w:r>
      <w:proofErr w:type="spellEnd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: What is the procedure for a filing a Declaration for not filing TDS Statement/NIL Declaration?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proofErr w:type="spellStart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Ans</w:t>
      </w:r>
      <w:proofErr w:type="spellEnd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: </w:t>
      </w: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Procedure for filing of declaration for non-filing of TDS statement is given below:</w:t>
      </w:r>
    </w:p>
    <w:p w:rsidR="00A46E1F" w:rsidRPr="00A46E1F" w:rsidRDefault="00A46E1F" w:rsidP="00A46E1F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Login through your registered id at www.tdscpc.gov.in</w:t>
      </w:r>
    </w:p>
    <w:p w:rsidR="00A46E1F" w:rsidRPr="00A46E1F" w:rsidRDefault="00A46E1F" w:rsidP="00A46E1F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Go to “Statement/Payments TAB after login &gt;then declaration for Non filing of TDS statement (as shown in the picture below).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noProof/>
          <w:color w:val="105592"/>
          <w:sz w:val="20"/>
          <w:szCs w:val="20"/>
          <w:lang w:eastAsia="en-IN"/>
        </w:rPr>
        <w:lastRenderedPageBreak/>
        <w:drawing>
          <wp:inline distT="0" distB="0" distL="0" distR="0">
            <wp:extent cx="3838575" cy="3048000"/>
            <wp:effectExtent l="0" t="0" r="9525" b="0"/>
            <wp:docPr id="1" name="Picture 1" descr="nil tds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l tds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 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 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 </w:t>
      </w:r>
    </w:p>
    <w:p w:rsidR="00A46E1F" w:rsidRPr="00A46E1F" w:rsidRDefault="00A46E1F" w:rsidP="00A46E1F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On clicking declaration for Non filing of TDS statement link you will get screen with options as shown below:</w:t>
      </w:r>
    </w:p>
    <w:p w:rsidR="00A46E1F" w:rsidRPr="00A46E1F" w:rsidRDefault="00A46E1F" w:rsidP="00A46E1F">
      <w:pPr>
        <w:numPr>
          <w:ilvl w:val="0"/>
          <w:numId w:val="4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Select financial year.</w:t>
      </w:r>
    </w:p>
    <w:p w:rsidR="00A46E1F" w:rsidRPr="00A46E1F" w:rsidRDefault="00A46E1F" w:rsidP="00A46E1F">
      <w:pPr>
        <w:numPr>
          <w:ilvl w:val="0"/>
          <w:numId w:val="4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Select Quarter.</w:t>
      </w:r>
    </w:p>
    <w:p w:rsidR="00A46E1F" w:rsidRPr="00A46E1F" w:rsidRDefault="00A46E1F" w:rsidP="00A46E1F">
      <w:pPr>
        <w:numPr>
          <w:ilvl w:val="0"/>
          <w:numId w:val="4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Select </w:t>
      </w: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Fom</w:t>
      </w:r>
      <w:proofErr w:type="spellEnd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 type- 24Q, 26Q, 27Q or 27EQ.</w:t>
      </w:r>
    </w:p>
    <w:p w:rsidR="00A46E1F" w:rsidRPr="00A46E1F" w:rsidRDefault="00A46E1F" w:rsidP="00A46E1F">
      <w:pPr>
        <w:numPr>
          <w:ilvl w:val="0"/>
          <w:numId w:val="4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Select reason for non-filing of statement from drop down menu.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 </w:t>
      </w:r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All fields are mandatory to fill.</w:t>
      </w:r>
    </w:p>
    <w:p w:rsidR="00A46E1F" w:rsidRPr="00A46E1F" w:rsidRDefault="00A46E1F" w:rsidP="00A46E1F">
      <w:pPr>
        <w:numPr>
          <w:ilvl w:val="0"/>
          <w:numId w:val="5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In the Financial year option, the system shows 2013-14 and 2014-15. It means that a Declaration for non-filing of TDS Statement can filed for these two years only.</w:t>
      </w:r>
    </w:p>
    <w:p w:rsidR="00A46E1F" w:rsidRPr="00A46E1F" w:rsidRDefault="00A46E1F" w:rsidP="00A46E1F">
      <w:pPr>
        <w:numPr>
          <w:ilvl w:val="0"/>
          <w:numId w:val="5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 xml:space="preserve">In the Reasons column, the </w:t>
      </w:r>
      <w:proofErr w:type="spellStart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>deductor</w:t>
      </w:r>
      <w:proofErr w:type="spellEnd"/>
      <w:r w:rsidRPr="00A46E1F">
        <w:rPr>
          <w:rFonts w:ascii="Arial" w:eastAsia="Times New Roman" w:hAnsi="Arial" w:cs="Arial"/>
          <w:b/>
          <w:bCs/>
          <w:color w:val="5E5E5E"/>
          <w:sz w:val="20"/>
          <w:szCs w:val="20"/>
          <w:lang w:eastAsia="en-IN"/>
        </w:rPr>
        <w:t xml:space="preserve"> can choose from the following options as shown below:</w:t>
      </w:r>
    </w:p>
    <w:p w:rsidR="00A46E1F" w:rsidRPr="00A46E1F" w:rsidRDefault="00A46E1F" w:rsidP="00A46E1F">
      <w:pPr>
        <w:numPr>
          <w:ilvl w:val="0"/>
          <w:numId w:val="5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Not liable to deduct for the selected statement period.</w:t>
      </w:r>
    </w:p>
    <w:p w:rsidR="00A46E1F" w:rsidRPr="00A46E1F" w:rsidRDefault="00A46E1F" w:rsidP="00A46E1F">
      <w:pPr>
        <w:numPr>
          <w:ilvl w:val="0"/>
          <w:numId w:val="5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No Payment made/ Credit to </w:t>
      </w: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Deductee</w:t>
      </w:r>
      <w:proofErr w:type="spellEnd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.</w:t>
      </w:r>
    </w:p>
    <w:p w:rsidR="00A46E1F" w:rsidRPr="00A46E1F" w:rsidRDefault="00A46E1F" w:rsidP="00A46E1F">
      <w:pPr>
        <w:numPr>
          <w:ilvl w:val="0"/>
          <w:numId w:val="5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Temporarily Business Closed</w:t>
      </w:r>
    </w:p>
    <w:p w:rsidR="00A46E1F" w:rsidRPr="00A46E1F" w:rsidRDefault="00A46E1F" w:rsidP="00A46E1F">
      <w:pPr>
        <w:numPr>
          <w:ilvl w:val="0"/>
          <w:numId w:val="5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Permanently business closed</w:t>
      </w:r>
    </w:p>
    <w:p w:rsidR="00A46E1F" w:rsidRPr="00A46E1F" w:rsidRDefault="00A46E1F" w:rsidP="00A46E1F">
      <w:pPr>
        <w:numPr>
          <w:ilvl w:val="0"/>
          <w:numId w:val="5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 xml:space="preserve">Payment below threshold to </w:t>
      </w:r>
      <w:proofErr w:type="spellStart"/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deductee</w:t>
      </w:r>
      <w:proofErr w:type="spellEnd"/>
    </w:p>
    <w:p w:rsidR="00A46E1F" w:rsidRPr="00A46E1F" w:rsidRDefault="00A46E1F" w:rsidP="00A46E1F">
      <w:pPr>
        <w:numPr>
          <w:ilvl w:val="0"/>
          <w:numId w:val="5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Branch Shifted</w:t>
      </w:r>
    </w:p>
    <w:p w:rsidR="00A46E1F" w:rsidRDefault="00A46E1F" w:rsidP="00A46E1F">
      <w:pPr>
        <w:numPr>
          <w:ilvl w:val="0"/>
          <w:numId w:val="5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 w:rsidRPr="00A46E1F">
        <w:rPr>
          <w:rFonts w:ascii="Arial" w:eastAsia="Times New Roman" w:hAnsi="Arial" w:cs="Arial"/>
          <w:color w:val="5E5E5E"/>
          <w:sz w:val="20"/>
          <w:szCs w:val="20"/>
          <w:lang w:eastAsia="en-IN"/>
        </w:rPr>
        <w:t>Any other reason</w:t>
      </w:r>
    </w:p>
    <w:p w:rsid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</w:p>
    <w:p w:rsid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</w:p>
    <w:p w:rsid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</w:p>
    <w:p w:rsid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>
        <w:rPr>
          <w:rFonts w:ascii="Arial" w:eastAsia="Times New Roman" w:hAnsi="Arial" w:cs="Arial"/>
          <w:color w:val="5E5E5E"/>
          <w:sz w:val="20"/>
          <w:szCs w:val="20"/>
          <w:lang w:eastAsia="en-IN"/>
        </w:rPr>
        <w:t>COURTESY:</w:t>
      </w:r>
    </w:p>
    <w:p w:rsid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proofErr w:type="gramStart"/>
      <w:r>
        <w:rPr>
          <w:rFonts w:ascii="Arial" w:eastAsia="Times New Roman" w:hAnsi="Arial" w:cs="Arial"/>
          <w:color w:val="5E5E5E"/>
          <w:sz w:val="20"/>
          <w:szCs w:val="20"/>
          <w:lang w:eastAsia="en-IN"/>
        </w:rPr>
        <w:t>Source :TAXGURU.COM</w:t>
      </w:r>
      <w:proofErr w:type="gramEnd"/>
    </w:p>
    <w:p w:rsidR="00A46E1F" w:rsidRPr="00A46E1F" w:rsidRDefault="00A46E1F" w:rsidP="00A46E1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E5E5E"/>
          <w:sz w:val="20"/>
          <w:szCs w:val="20"/>
          <w:lang w:eastAsia="en-IN"/>
        </w:rPr>
      </w:pPr>
      <w:r>
        <w:rPr>
          <w:rFonts w:ascii="Arial" w:eastAsia="Times New Roman" w:hAnsi="Arial" w:cs="Arial"/>
          <w:color w:val="5E5E5E"/>
          <w:sz w:val="20"/>
          <w:szCs w:val="20"/>
          <w:lang w:eastAsia="en-IN"/>
        </w:rPr>
        <w:t>20/10/2014</w:t>
      </w:r>
      <w:bookmarkStart w:id="0" w:name="_GoBack"/>
      <w:bookmarkEnd w:id="0"/>
    </w:p>
    <w:sectPr w:rsidR="00A46E1F" w:rsidRPr="00A46E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15B0"/>
    <w:multiLevelType w:val="multilevel"/>
    <w:tmpl w:val="4DA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7254"/>
    <w:multiLevelType w:val="multilevel"/>
    <w:tmpl w:val="BF3C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3E3D"/>
    <w:multiLevelType w:val="multilevel"/>
    <w:tmpl w:val="E120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64E98"/>
    <w:multiLevelType w:val="multilevel"/>
    <w:tmpl w:val="C52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13B55"/>
    <w:multiLevelType w:val="multilevel"/>
    <w:tmpl w:val="CD70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F"/>
    <w:rsid w:val="004A2877"/>
    <w:rsid w:val="00A46E1F"/>
    <w:rsid w:val="00E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5B9F5-372F-415D-BA8B-367E4B75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A46E1F"/>
  </w:style>
  <w:style w:type="character" w:customStyle="1" w:styleId="ilad">
    <w:name w:val="il_ad"/>
    <w:basedOn w:val="DefaultParagraphFont"/>
    <w:rsid w:val="00A46E1F"/>
  </w:style>
  <w:style w:type="character" w:styleId="Strong">
    <w:name w:val="Strong"/>
    <w:basedOn w:val="DefaultParagraphFont"/>
    <w:uiPriority w:val="22"/>
    <w:qFormat/>
    <w:rsid w:val="00A46E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6E1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46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2.wp.com/taxguru.in/wp-content/uploads/2014/10/nil-tds-1.jpg" TargetMode="External"/><Relationship Id="rId5" Type="http://schemas.openxmlformats.org/officeDocument/2006/relationships/hyperlink" Target="http://taxguru.in/income-tax/filed-tds-returnfile-nil-declaration-trac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2014-12-09T12:01:00Z</dcterms:created>
  <dcterms:modified xsi:type="dcterms:W3CDTF">2014-12-09T12:06:00Z</dcterms:modified>
</cp:coreProperties>
</file>